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BA" w:rsidRDefault="007652BA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A027C4" w:rsidRPr="007652BA" w:rsidRDefault="00436927" w:rsidP="006D0B1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sz w:val="24"/>
          <w:szCs w:val="24"/>
        </w:rPr>
        <w:t xml:space="preserve">Saltillo, Coahuila, a </w:t>
      </w:r>
      <w:r w:rsidR="00425F3B" w:rsidRPr="007652BA">
        <w:rPr>
          <w:rFonts w:ascii="Arial" w:eastAsia="Arial" w:hAnsi="Arial" w:cs="Arial"/>
          <w:sz w:val="24"/>
          <w:szCs w:val="24"/>
        </w:rPr>
        <w:t>diez</w:t>
      </w:r>
      <w:r w:rsidR="00683A17" w:rsidRPr="007652BA">
        <w:rPr>
          <w:rFonts w:ascii="Arial" w:eastAsia="Arial" w:hAnsi="Arial" w:cs="Arial"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sz w:val="24"/>
          <w:szCs w:val="24"/>
        </w:rPr>
        <w:t xml:space="preserve">de </w:t>
      </w:r>
      <w:r w:rsidR="00425F3B" w:rsidRPr="007652BA">
        <w:rPr>
          <w:rFonts w:ascii="Arial" w:eastAsia="Arial" w:hAnsi="Arial" w:cs="Arial"/>
          <w:sz w:val="24"/>
          <w:szCs w:val="24"/>
        </w:rPr>
        <w:t>abril</w:t>
      </w:r>
      <w:r w:rsidR="003D7C68" w:rsidRPr="007652BA">
        <w:rPr>
          <w:rFonts w:ascii="Arial" w:eastAsia="Arial" w:hAnsi="Arial" w:cs="Arial"/>
          <w:sz w:val="24"/>
          <w:szCs w:val="24"/>
        </w:rPr>
        <w:t xml:space="preserve"> de dos mil </w:t>
      </w:r>
      <w:r w:rsidR="001A43ED" w:rsidRPr="007652BA">
        <w:rPr>
          <w:rFonts w:ascii="Arial" w:eastAsia="Arial" w:hAnsi="Arial" w:cs="Arial"/>
          <w:sz w:val="24"/>
          <w:szCs w:val="24"/>
        </w:rPr>
        <w:t>veintitrés</w:t>
      </w:r>
      <w:r w:rsidR="00A027C4" w:rsidRPr="007652BA">
        <w:rPr>
          <w:rFonts w:ascii="Arial" w:eastAsia="Arial" w:hAnsi="Arial" w:cs="Arial"/>
          <w:sz w:val="24"/>
          <w:szCs w:val="24"/>
        </w:rPr>
        <w:t xml:space="preserve"> </w:t>
      </w:r>
    </w:p>
    <w:p w:rsidR="00A027C4" w:rsidRPr="007652BA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2BA" w:rsidRDefault="007652BA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027C4" w:rsidRPr="007652BA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ORDEN DEL DÍA</w:t>
      </w:r>
    </w:p>
    <w:p w:rsidR="00A027C4" w:rsidRPr="007652BA" w:rsidRDefault="00A027C4" w:rsidP="00A027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A027C4" w:rsidRPr="007652BA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Magistrados de la Sala Colegiada Penal:</w:t>
      </w:r>
    </w:p>
    <w:p w:rsidR="00A027C4" w:rsidRPr="007652BA" w:rsidRDefault="00A027C4" w:rsidP="00A027C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27C4" w:rsidRPr="007652BA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sz w:val="24"/>
          <w:szCs w:val="24"/>
        </w:rPr>
        <w:t>Por medio de la presente, se les da a conocer el orden del día de la Sala Colegiada Penal del Tribunal Superior de Justicia en el Estado, con el fin de celebra</w:t>
      </w:r>
      <w:r w:rsidR="003C3442" w:rsidRPr="007652BA">
        <w:rPr>
          <w:rFonts w:ascii="Arial" w:eastAsia="Arial" w:hAnsi="Arial" w:cs="Arial"/>
          <w:sz w:val="24"/>
          <w:szCs w:val="24"/>
        </w:rPr>
        <w:t xml:space="preserve">r la sesión ordinaria a las </w:t>
      </w:r>
      <w:r w:rsidR="00425F3B" w:rsidRPr="007652BA">
        <w:rPr>
          <w:rFonts w:ascii="Arial" w:eastAsia="Arial" w:hAnsi="Arial" w:cs="Arial"/>
          <w:b/>
          <w:sz w:val="24"/>
          <w:szCs w:val="24"/>
        </w:rPr>
        <w:t>once</w:t>
      </w:r>
      <w:r w:rsidR="003C3442" w:rsidRPr="007652BA">
        <w:rPr>
          <w:rFonts w:ascii="Arial" w:eastAsia="Arial" w:hAnsi="Arial" w:cs="Arial"/>
          <w:sz w:val="24"/>
          <w:szCs w:val="24"/>
        </w:rPr>
        <w:t xml:space="preserve"> </w:t>
      </w:r>
      <w:r w:rsidR="00F538E5" w:rsidRPr="007652BA">
        <w:rPr>
          <w:rFonts w:ascii="Arial" w:eastAsia="Arial" w:hAnsi="Arial" w:cs="Arial"/>
          <w:b/>
          <w:sz w:val="24"/>
          <w:szCs w:val="24"/>
        </w:rPr>
        <w:t>horas</w:t>
      </w:r>
      <w:r w:rsidR="00425F3B" w:rsidRPr="007652BA">
        <w:rPr>
          <w:rFonts w:ascii="Arial" w:eastAsia="Arial" w:hAnsi="Arial" w:cs="Arial"/>
          <w:b/>
          <w:sz w:val="24"/>
          <w:szCs w:val="24"/>
        </w:rPr>
        <w:t xml:space="preserve"> (11</w:t>
      </w:r>
      <w:r w:rsidR="00683A17" w:rsidRPr="007652BA">
        <w:rPr>
          <w:rFonts w:ascii="Arial" w:eastAsia="Arial" w:hAnsi="Arial" w:cs="Arial"/>
          <w:b/>
          <w:sz w:val="24"/>
          <w:szCs w:val="24"/>
        </w:rPr>
        <w:t>:0</w:t>
      </w:r>
      <w:r w:rsidRPr="007652BA">
        <w:rPr>
          <w:rFonts w:ascii="Arial" w:eastAsia="Arial" w:hAnsi="Arial" w:cs="Arial"/>
          <w:b/>
          <w:sz w:val="24"/>
          <w:szCs w:val="24"/>
        </w:rPr>
        <w:t>0)</w:t>
      </w:r>
      <w:r w:rsidRPr="007652BA">
        <w:rPr>
          <w:rFonts w:ascii="Arial" w:eastAsia="Arial" w:hAnsi="Arial" w:cs="Arial"/>
          <w:sz w:val="24"/>
          <w:szCs w:val="24"/>
        </w:rPr>
        <w:t xml:space="preserve">, del día </w:t>
      </w:r>
      <w:r w:rsidR="00425F3B" w:rsidRPr="007652BA">
        <w:rPr>
          <w:rFonts w:ascii="Arial" w:eastAsia="Arial" w:hAnsi="Arial" w:cs="Arial"/>
          <w:b/>
          <w:sz w:val="24"/>
          <w:szCs w:val="24"/>
        </w:rPr>
        <w:t>martes once (11</w:t>
      </w:r>
      <w:r w:rsidRPr="007652BA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425F3B" w:rsidRPr="007652BA">
        <w:rPr>
          <w:rFonts w:ascii="Arial" w:eastAsia="Arial" w:hAnsi="Arial" w:cs="Arial"/>
          <w:b/>
          <w:sz w:val="24"/>
          <w:szCs w:val="24"/>
        </w:rPr>
        <w:t>abril</w:t>
      </w:r>
      <w:r w:rsidR="003D7C68" w:rsidRPr="007652BA">
        <w:rPr>
          <w:rFonts w:ascii="Arial" w:eastAsia="Arial" w:hAnsi="Arial" w:cs="Arial"/>
          <w:b/>
          <w:sz w:val="24"/>
          <w:szCs w:val="24"/>
        </w:rPr>
        <w:t xml:space="preserve"> de dos mil veintitrés (2023</w:t>
      </w:r>
      <w:r w:rsidRPr="007652BA">
        <w:rPr>
          <w:rFonts w:ascii="Arial" w:eastAsia="Arial" w:hAnsi="Arial" w:cs="Arial"/>
          <w:b/>
          <w:sz w:val="24"/>
          <w:szCs w:val="24"/>
        </w:rPr>
        <w:t>)</w:t>
      </w:r>
      <w:r w:rsidRPr="007652BA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A027C4" w:rsidRPr="007652BA" w:rsidRDefault="00A027C4" w:rsidP="00A027C4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027C4" w:rsidRPr="007652BA" w:rsidRDefault="00A027C4" w:rsidP="00A027C4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A027C4" w:rsidRPr="007652BA" w:rsidRDefault="00A027C4" w:rsidP="00A027C4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</w:t>
      </w:r>
      <w:r w:rsidR="009243B4" w:rsidRPr="007652BA">
        <w:rPr>
          <w:rFonts w:ascii="Arial" w:eastAsia="Arial" w:hAnsi="Arial" w:cs="Arial"/>
          <w:color w:val="000000"/>
          <w:sz w:val="24"/>
          <w:szCs w:val="24"/>
        </w:rPr>
        <w:t>dos numerarios</w:t>
      </w:r>
      <w:r w:rsidR="00425F3B" w:rsidRPr="007652BA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765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que vayan a formar Sala o a integrar Tribunal de Apelación respectivamente. </w:t>
      </w: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0970" w:rsidRPr="007652BA" w:rsidRDefault="00683A17" w:rsidP="00683A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>Enseguida, la y los Ma</w:t>
      </w:r>
      <w:r w:rsidR="006D0B10" w:rsidRPr="007652BA">
        <w:rPr>
          <w:rFonts w:ascii="Arial" w:eastAsia="Arial" w:hAnsi="Arial" w:cs="Arial"/>
          <w:color w:val="000000"/>
          <w:sz w:val="24"/>
          <w:szCs w:val="24"/>
        </w:rPr>
        <w:t>gistrados numerarios</w:t>
      </w:r>
      <w:r w:rsidR="00425F3B" w:rsidRPr="007652BA">
        <w:rPr>
          <w:rFonts w:ascii="Arial" w:eastAsia="Arial" w:hAnsi="Arial" w:cs="Arial"/>
          <w:color w:val="000000"/>
          <w:sz w:val="24"/>
          <w:szCs w:val="24"/>
        </w:rPr>
        <w:t xml:space="preserve"> y supernumerarios</w:t>
      </w:r>
      <w:r w:rsidR="006D0B10" w:rsidRPr="00765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C5199D" w:rsidRPr="007652BA" w:rsidRDefault="00C5199D" w:rsidP="00C5199D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199D" w:rsidRPr="007652BA" w:rsidRDefault="00C5199D" w:rsidP="00C5199D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7652BA">
        <w:rPr>
          <w:rFonts w:ascii="Arial" w:hAnsi="Arial" w:cs="Arial"/>
          <w:b/>
          <w:sz w:val="24"/>
          <w:szCs w:val="24"/>
          <w:u w:val="single"/>
          <w:lang w:eastAsia="es-ES"/>
        </w:rPr>
        <w:t>Magistrado Luis Efrén Ríos Vega</w:t>
      </w:r>
    </w:p>
    <w:p w:rsidR="00C5199D" w:rsidRPr="007652BA" w:rsidRDefault="00C5199D" w:rsidP="00C5199D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C5199D" w:rsidRDefault="00C5199D" w:rsidP="00C5199D">
      <w:pPr>
        <w:spacing w:line="36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652BA">
        <w:rPr>
          <w:rFonts w:ascii="Arial" w:hAnsi="Arial" w:cs="Arial"/>
          <w:b/>
          <w:sz w:val="24"/>
          <w:szCs w:val="24"/>
          <w:u w:val="single"/>
        </w:rPr>
        <w:t>1.- Toca penal 05/2023-T</w:t>
      </w:r>
      <w:r w:rsidRPr="007652BA">
        <w:rPr>
          <w:rFonts w:ascii="Arial" w:hAnsi="Arial" w:cs="Arial"/>
          <w:sz w:val="24"/>
          <w:szCs w:val="24"/>
        </w:rPr>
        <w:t xml:space="preserve"> dentro de la causa  penal </w:t>
      </w:r>
      <w:r w:rsidRPr="007652BA">
        <w:rPr>
          <w:rFonts w:ascii="Arial" w:hAnsi="Arial" w:cs="Arial"/>
          <w:bCs/>
          <w:sz w:val="24"/>
          <w:szCs w:val="24"/>
        </w:rPr>
        <w:t>715/2020-4T</w:t>
      </w:r>
      <w:r w:rsidRPr="007652BA">
        <w:rPr>
          <w:rFonts w:ascii="Arial" w:hAnsi="Arial" w:cs="Arial"/>
          <w:sz w:val="24"/>
          <w:szCs w:val="24"/>
        </w:rPr>
        <w:t>, que se siguió en contra</w:t>
      </w:r>
      <w:r w:rsidRPr="007652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José Ezequiel</w:t>
      </w:r>
      <w:r w:rsidRPr="007652BA">
        <w:rPr>
          <w:rFonts w:ascii="Arial" w:hAnsi="Arial" w:cs="Arial"/>
          <w:sz w:val="24"/>
          <w:szCs w:val="24"/>
        </w:rPr>
        <w:t xml:space="preserve">, por el delito de secuestro calificado por haberse cometido en ruta comúnmente frecuentada por el pasivo en despoblado, uso de armas en el inicio de la comisión del delito y en el transcurso de su ejecución, por haberse realizado con violencia moral en la persona del ofendido y de un tercero, por un grupo de dos o más personas, por haber utilizado un medio de alta tecnología que facilitó la consecución de los propósitos del secuestrador, presión en la entrega o verificación de lo exigido con amenaza de muerte al secuestrado, por someter al secuestrado a </w:t>
      </w:r>
      <w:r w:rsidRPr="007652BA">
        <w:rPr>
          <w:rFonts w:ascii="Arial" w:hAnsi="Arial" w:cs="Arial"/>
          <w:sz w:val="24"/>
          <w:szCs w:val="24"/>
        </w:rPr>
        <w:lastRenderedPageBreak/>
        <w:t xml:space="preserve">maltratos y por privación de la vida del secuestrado. </w:t>
      </w:r>
      <w:r w:rsidRPr="007652BA">
        <w:rPr>
          <w:rFonts w:ascii="Arial" w:hAnsi="Arial" w:cs="Arial"/>
          <w:b/>
          <w:sz w:val="24"/>
          <w:szCs w:val="24"/>
        </w:rPr>
        <w:t>MAFH—MLVG—JJYA—AGGS.</w:t>
      </w:r>
    </w:p>
    <w:p w:rsidR="002E0A99" w:rsidRPr="007652BA" w:rsidRDefault="002E0A99" w:rsidP="00C5199D">
      <w:pPr>
        <w:spacing w:line="36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0A99" w:rsidRDefault="002E0A99" w:rsidP="002E0A99">
      <w:pPr>
        <w:pStyle w:val="Prrafodelista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Magistrado Juan José Yáñez Arreola</w:t>
      </w:r>
    </w:p>
    <w:p w:rsidR="002E0A99" w:rsidRDefault="002E0A99" w:rsidP="002E0A99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2E0A99" w:rsidRDefault="002E0A99" w:rsidP="002E0A99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1.- Toca penal 109/2022-T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iCs/>
          <w:color w:val="000000" w:themeColor="text1"/>
          <w:sz w:val="24"/>
          <w:szCs w:val="24"/>
          <w:lang w:eastAsia="en-US"/>
        </w:rPr>
        <w:t xml:space="preserve">en el proceso </w:t>
      </w:r>
      <w:r>
        <w:rPr>
          <w:rFonts w:ascii="Arial" w:eastAsia="Batang" w:hAnsi="Arial" w:cs="Arial"/>
          <w:bCs/>
          <w:iCs/>
          <w:color w:val="000000" w:themeColor="text1"/>
          <w:sz w:val="24"/>
          <w:szCs w:val="24"/>
          <w:lang w:eastAsia="en-US"/>
        </w:rPr>
        <w:t xml:space="preserve">408/2020-4T que por el delito de </w:t>
      </w:r>
      <w:r>
        <w:rPr>
          <w:rFonts w:ascii="Arial" w:hAnsi="Arial" w:cs="Arial"/>
          <w:bCs/>
          <w:sz w:val="24"/>
          <w:szCs w:val="24"/>
        </w:rPr>
        <w:t>feminicidio</w:t>
      </w:r>
      <w:r>
        <w:rPr>
          <w:rFonts w:ascii="Arial" w:eastAsia="Batang" w:hAnsi="Arial" w:cs="Arial"/>
          <w:bCs/>
          <w:iCs/>
          <w:color w:val="000000" w:themeColor="text1"/>
          <w:sz w:val="24"/>
          <w:szCs w:val="24"/>
          <w:lang w:eastAsia="en-US"/>
        </w:rPr>
        <w:t xml:space="preserve">, se siguió a Jorge Noé, Hugo Bladimir  y Samuel. </w:t>
      </w:r>
      <w:r>
        <w:rPr>
          <w:rFonts w:ascii="Arial" w:hAnsi="Arial" w:cs="Arial"/>
          <w:b/>
          <w:sz w:val="24"/>
          <w:szCs w:val="24"/>
        </w:rPr>
        <w:t>MAFH—MLVG—LERV—AAZ.</w:t>
      </w:r>
    </w:p>
    <w:p w:rsidR="00BE1E5B" w:rsidRPr="007652BA" w:rsidRDefault="00BE1E5B" w:rsidP="00683A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83A17" w:rsidRPr="007652BA" w:rsidRDefault="00683A17" w:rsidP="00683A17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7652BA">
        <w:rPr>
          <w:rFonts w:ascii="Arial" w:hAnsi="Arial" w:cs="Arial"/>
          <w:b/>
          <w:sz w:val="24"/>
          <w:szCs w:val="24"/>
          <w:u w:val="single"/>
          <w:lang w:eastAsia="es-ES"/>
        </w:rPr>
        <w:t>Ma</w:t>
      </w:r>
      <w:r w:rsidR="00C402A9" w:rsidRPr="007652BA">
        <w:rPr>
          <w:rFonts w:ascii="Arial" w:hAnsi="Arial" w:cs="Arial"/>
          <w:b/>
          <w:sz w:val="24"/>
          <w:szCs w:val="24"/>
          <w:u w:val="single"/>
          <w:lang w:eastAsia="es-ES"/>
        </w:rPr>
        <w:t>gistrada María Luisa Valencia García</w:t>
      </w:r>
    </w:p>
    <w:p w:rsidR="00683A17" w:rsidRPr="007652BA" w:rsidRDefault="00683A17" w:rsidP="00683A17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F14FA" w:rsidRPr="007652BA" w:rsidRDefault="00425F3B" w:rsidP="006D0B10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52BA">
        <w:rPr>
          <w:rFonts w:ascii="Arial" w:hAnsi="Arial" w:cs="Arial"/>
          <w:b/>
          <w:sz w:val="24"/>
          <w:szCs w:val="24"/>
          <w:u w:val="single"/>
        </w:rPr>
        <w:t>1.- Toca penal 30</w:t>
      </w:r>
      <w:r w:rsidR="00774749" w:rsidRPr="007652BA">
        <w:rPr>
          <w:rFonts w:ascii="Arial" w:hAnsi="Arial" w:cs="Arial"/>
          <w:b/>
          <w:sz w:val="24"/>
          <w:szCs w:val="24"/>
          <w:u w:val="single"/>
        </w:rPr>
        <w:t>/</w:t>
      </w:r>
      <w:r w:rsidR="006D0B10" w:rsidRPr="007652BA">
        <w:rPr>
          <w:rFonts w:ascii="Arial" w:hAnsi="Arial" w:cs="Arial"/>
          <w:b/>
          <w:sz w:val="24"/>
          <w:szCs w:val="24"/>
          <w:u w:val="single"/>
        </w:rPr>
        <w:t>2023-JO</w:t>
      </w:r>
      <w:r w:rsidRPr="007652BA">
        <w:rPr>
          <w:rFonts w:ascii="Arial" w:hAnsi="Arial" w:cs="Arial"/>
          <w:bCs/>
          <w:sz w:val="24"/>
          <w:szCs w:val="24"/>
        </w:rPr>
        <w:t xml:space="preserve"> dentro de </w:t>
      </w:r>
      <w:r w:rsidRPr="007652BA">
        <w:rPr>
          <w:rFonts w:ascii="Arial" w:eastAsia="Times New Roman" w:hAnsi="Arial" w:cs="Arial"/>
          <w:sz w:val="24"/>
          <w:szCs w:val="24"/>
          <w:lang w:eastAsia="es-ES"/>
        </w:rPr>
        <w:t xml:space="preserve"> los autos de la causa penal 1047/2019-JO</w:t>
      </w:r>
      <w:r w:rsidRPr="007652B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652BA">
        <w:rPr>
          <w:rFonts w:ascii="Arial" w:eastAsia="Times New Roman" w:hAnsi="Arial" w:cs="Arial"/>
          <w:sz w:val="24"/>
          <w:szCs w:val="24"/>
          <w:lang w:eastAsia="es-ES"/>
        </w:rPr>
        <w:t>que, por el delito de</w:t>
      </w:r>
      <w:r w:rsidRPr="007652BA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secuestro </w:t>
      </w:r>
      <w:r w:rsidRPr="007652BA">
        <w:rPr>
          <w:rFonts w:ascii="Arial" w:hAnsi="Arial" w:cs="Arial"/>
          <w:bCs/>
          <w:sz w:val="24"/>
          <w:szCs w:val="24"/>
        </w:rPr>
        <w:t xml:space="preserve">con el propósito de causar daño a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la </w:t>
      </w:r>
      <w:r w:rsidRPr="007652BA">
        <w:rPr>
          <w:rFonts w:ascii="Arial" w:hAnsi="Arial" w:cs="Arial"/>
          <w:bCs/>
          <w:sz w:val="24"/>
          <w:szCs w:val="24"/>
        </w:rPr>
        <w:t xml:space="preserve">persona privada de su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libertad, agravado por </w:t>
      </w:r>
      <w:r w:rsidRPr="007652BA">
        <w:rPr>
          <w:rFonts w:ascii="Arial" w:hAnsi="Arial" w:cs="Arial"/>
          <w:bCs/>
          <w:sz w:val="24"/>
          <w:szCs w:val="24"/>
        </w:rPr>
        <w:t xml:space="preserve">llevarse a cabo en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grupo de dos </w:t>
      </w:r>
      <w:r w:rsidRPr="007652BA">
        <w:rPr>
          <w:rFonts w:ascii="Arial" w:hAnsi="Arial" w:cs="Arial"/>
          <w:bCs/>
          <w:sz w:val="24"/>
          <w:szCs w:val="24"/>
        </w:rPr>
        <w:t xml:space="preserve">o más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>personas, por realizarse con violencia y porque los autores tengan vinculo de parentesco con la víctima</w:t>
      </w:r>
      <w:r w:rsidRPr="007652BA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r w:rsidRPr="007652BA">
        <w:rPr>
          <w:rFonts w:ascii="Arial" w:eastAsia="Times New Roman" w:hAnsi="Arial" w:cs="Arial"/>
          <w:sz w:val="24"/>
          <w:szCs w:val="24"/>
          <w:lang w:eastAsia="es-ES"/>
        </w:rPr>
        <w:t xml:space="preserve">se instruye en contra de </w:t>
      </w:r>
      <w:r w:rsidRPr="007652BA">
        <w:rPr>
          <w:rFonts w:ascii="Arial" w:hAnsi="Arial" w:cs="Arial"/>
          <w:sz w:val="24"/>
          <w:szCs w:val="24"/>
        </w:rPr>
        <w:t xml:space="preserve">Diego Alberto  y Luis David; y por el delito de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secuestro </w:t>
      </w:r>
      <w:r w:rsidRPr="007652BA">
        <w:rPr>
          <w:rFonts w:ascii="Arial" w:hAnsi="Arial" w:cs="Arial"/>
          <w:bCs/>
          <w:sz w:val="24"/>
          <w:szCs w:val="24"/>
        </w:rPr>
        <w:t xml:space="preserve">con el propósito de causar daño a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la </w:t>
      </w:r>
      <w:r w:rsidRPr="007652BA">
        <w:rPr>
          <w:rFonts w:ascii="Arial" w:hAnsi="Arial" w:cs="Arial"/>
          <w:bCs/>
          <w:sz w:val="24"/>
          <w:szCs w:val="24"/>
        </w:rPr>
        <w:t xml:space="preserve">persona privada de su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libertad, agravado por </w:t>
      </w:r>
      <w:r w:rsidRPr="007652BA">
        <w:rPr>
          <w:rFonts w:ascii="Arial" w:hAnsi="Arial" w:cs="Arial"/>
          <w:bCs/>
          <w:sz w:val="24"/>
          <w:szCs w:val="24"/>
        </w:rPr>
        <w:t xml:space="preserve">llevarse a cabo en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grupo de dos </w:t>
      </w:r>
      <w:r w:rsidRPr="007652BA">
        <w:rPr>
          <w:rFonts w:ascii="Arial" w:hAnsi="Arial" w:cs="Arial"/>
          <w:bCs/>
          <w:sz w:val="24"/>
          <w:szCs w:val="24"/>
        </w:rPr>
        <w:t xml:space="preserve">o más </w:t>
      </w:r>
      <w:r w:rsidRPr="007652BA">
        <w:rPr>
          <w:rFonts w:ascii="Arial" w:eastAsia="Times New Roman" w:hAnsi="Arial" w:cs="Arial"/>
          <w:bCs/>
          <w:sz w:val="24"/>
          <w:szCs w:val="24"/>
          <w:lang w:eastAsia="es-ES_tradnl"/>
        </w:rPr>
        <w:t xml:space="preserve">personas y por realizarse con violencia, se instruye en contra de </w:t>
      </w:r>
      <w:r w:rsidRPr="007652BA">
        <w:rPr>
          <w:rFonts w:ascii="Arial" w:hAnsi="Arial" w:cs="Arial"/>
          <w:sz w:val="24"/>
          <w:szCs w:val="24"/>
        </w:rPr>
        <w:t>Juan Alfredo</w:t>
      </w:r>
      <w:r w:rsidRPr="007652BA">
        <w:rPr>
          <w:rFonts w:ascii="Arial" w:hAnsi="Arial" w:cs="Arial"/>
          <w:bCs/>
          <w:sz w:val="24"/>
          <w:szCs w:val="24"/>
        </w:rPr>
        <w:t>.</w:t>
      </w:r>
      <w:r w:rsidRPr="007652BA">
        <w:rPr>
          <w:rFonts w:ascii="Arial" w:hAnsi="Arial" w:cs="Arial"/>
          <w:b/>
          <w:bCs/>
          <w:sz w:val="24"/>
          <w:szCs w:val="24"/>
        </w:rPr>
        <w:t xml:space="preserve"> JJYA</w:t>
      </w:r>
      <w:r w:rsidR="00C402A9" w:rsidRPr="007652BA">
        <w:rPr>
          <w:rFonts w:ascii="Arial" w:hAnsi="Arial" w:cs="Arial"/>
          <w:b/>
          <w:sz w:val="24"/>
          <w:szCs w:val="24"/>
        </w:rPr>
        <w:t>----HRG</w:t>
      </w:r>
      <w:r w:rsidR="006D0B10" w:rsidRPr="007652BA">
        <w:rPr>
          <w:rFonts w:ascii="Arial" w:hAnsi="Arial" w:cs="Arial"/>
          <w:b/>
          <w:sz w:val="24"/>
          <w:szCs w:val="24"/>
        </w:rPr>
        <w:t>.</w:t>
      </w:r>
    </w:p>
    <w:p w:rsidR="00BE1E5B" w:rsidRPr="007652BA" w:rsidRDefault="00BE1E5B" w:rsidP="006D0B10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27C4" w:rsidRPr="007652BA" w:rsidRDefault="00683A17" w:rsidP="000F14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4) </w:t>
      </w:r>
      <w:r w:rsidR="00CB6035" w:rsidRPr="007652B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b/>
          <w:color w:val="000000"/>
          <w:sz w:val="24"/>
          <w:szCs w:val="24"/>
        </w:rPr>
        <w:t>Asuntos Generales:</w:t>
      </w:r>
      <w:r w:rsidR="00A027C4" w:rsidRPr="00765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027C4" w:rsidRPr="007652BA" w:rsidRDefault="00A027C4" w:rsidP="00A027C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7652BA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7652BA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A027C4" w:rsidRPr="007652BA" w:rsidRDefault="00A027C4" w:rsidP="00A027C4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27C4" w:rsidRPr="007652BA" w:rsidRDefault="00C45F59" w:rsidP="006D0B10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5</w:t>
      </w:r>
      <w:r w:rsidR="00041A46" w:rsidRPr="007652BA">
        <w:rPr>
          <w:rFonts w:ascii="Arial" w:eastAsia="Arial" w:hAnsi="Arial" w:cs="Arial"/>
          <w:b/>
          <w:sz w:val="24"/>
          <w:szCs w:val="24"/>
        </w:rPr>
        <w:t>)</w:t>
      </w:r>
      <w:r w:rsidR="00A027C4" w:rsidRPr="007652BA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="00A027C4" w:rsidRPr="007652BA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="00A027C4" w:rsidRPr="007652BA">
        <w:rPr>
          <w:rFonts w:ascii="Arial" w:eastAsia="Arial" w:hAnsi="Arial" w:cs="Arial"/>
          <w:sz w:val="24"/>
          <w:szCs w:val="24"/>
        </w:rPr>
        <w:t>celebrada</w:t>
      </w:r>
      <w:r w:rsidR="00A027C4" w:rsidRPr="007652BA">
        <w:rPr>
          <w:rFonts w:ascii="Arial" w:eastAsia="Arial" w:hAnsi="Arial" w:cs="Arial"/>
          <w:b/>
          <w:sz w:val="24"/>
          <w:szCs w:val="24"/>
        </w:rPr>
        <w:t xml:space="preserve"> </w:t>
      </w:r>
      <w:r w:rsidR="00A027C4" w:rsidRPr="007652BA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A027C4" w:rsidRPr="007652BA" w:rsidRDefault="00A027C4" w:rsidP="00A027C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4C0A" w:rsidRPr="007652BA" w:rsidRDefault="00A027C4" w:rsidP="0092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652BA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sectPr w:rsidR="00394C0A" w:rsidRPr="007652BA" w:rsidSect="00AB66EE">
      <w:pgSz w:w="12240" w:h="20160"/>
      <w:pgMar w:top="1560" w:right="1418" w:bottom="1418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4"/>
    <w:rsid w:val="00041A46"/>
    <w:rsid w:val="000F14FA"/>
    <w:rsid w:val="001012C9"/>
    <w:rsid w:val="00105770"/>
    <w:rsid w:val="00144113"/>
    <w:rsid w:val="00165235"/>
    <w:rsid w:val="001A43ED"/>
    <w:rsid w:val="00225F9F"/>
    <w:rsid w:val="00281060"/>
    <w:rsid w:val="002E0A99"/>
    <w:rsid w:val="003512A0"/>
    <w:rsid w:val="00382AC9"/>
    <w:rsid w:val="00394C0A"/>
    <w:rsid w:val="003A7E46"/>
    <w:rsid w:val="003B2E12"/>
    <w:rsid w:val="003C3442"/>
    <w:rsid w:val="003D7C68"/>
    <w:rsid w:val="003E03B3"/>
    <w:rsid w:val="003E6B86"/>
    <w:rsid w:val="00415FAD"/>
    <w:rsid w:val="00425F3B"/>
    <w:rsid w:val="00436927"/>
    <w:rsid w:val="005A3BB5"/>
    <w:rsid w:val="00683A17"/>
    <w:rsid w:val="006D0B10"/>
    <w:rsid w:val="006E02BC"/>
    <w:rsid w:val="006E2783"/>
    <w:rsid w:val="00722218"/>
    <w:rsid w:val="007652BA"/>
    <w:rsid w:val="00774749"/>
    <w:rsid w:val="007F5039"/>
    <w:rsid w:val="00800CE8"/>
    <w:rsid w:val="00860679"/>
    <w:rsid w:val="00865C8D"/>
    <w:rsid w:val="008B2E56"/>
    <w:rsid w:val="008D6900"/>
    <w:rsid w:val="009243B4"/>
    <w:rsid w:val="009410F3"/>
    <w:rsid w:val="009645ED"/>
    <w:rsid w:val="009835F6"/>
    <w:rsid w:val="00A027C4"/>
    <w:rsid w:val="00A2697D"/>
    <w:rsid w:val="00AA2AEA"/>
    <w:rsid w:val="00AB66EE"/>
    <w:rsid w:val="00BE1E5B"/>
    <w:rsid w:val="00BE3399"/>
    <w:rsid w:val="00C04DAD"/>
    <w:rsid w:val="00C402A9"/>
    <w:rsid w:val="00C45F59"/>
    <w:rsid w:val="00C5199D"/>
    <w:rsid w:val="00C8277D"/>
    <w:rsid w:val="00CA1A0C"/>
    <w:rsid w:val="00CB6035"/>
    <w:rsid w:val="00CC0970"/>
    <w:rsid w:val="00CD06FC"/>
    <w:rsid w:val="00D00E25"/>
    <w:rsid w:val="00D444EE"/>
    <w:rsid w:val="00D72407"/>
    <w:rsid w:val="00DC225D"/>
    <w:rsid w:val="00DC7BBA"/>
    <w:rsid w:val="00DE23AD"/>
    <w:rsid w:val="00DE7AA4"/>
    <w:rsid w:val="00E65319"/>
    <w:rsid w:val="00E80568"/>
    <w:rsid w:val="00ED5570"/>
    <w:rsid w:val="00F101CE"/>
    <w:rsid w:val="00F438C2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BC8D-B366-4EF5-B01A-9D35911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7C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C4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BE3399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E3399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ABA">
    <w:name w:val="ABA"/>
    <w:basedOn w:val="Normal"/>
    <w:link w:val="ABACar"/>
    <w:autoRedefine/>
    <w:qFormat/>
    <w:rsid w:val="00F538E5"/>
    <w:pPr>
      <w:suppressLineNumbers/>
      <w:suppressAutoHyphens/>
      <w:spacing w:before="240" w:after="240" w:line="360" w:lineRule="auto"/>
      <w:ind w:right="902"/>
      <w:jc w:val="both"/>
    </w:pPr>
    <w:rPr>
      <w:rFonts w:ascii="Arial" w:eastAsia="Batang" w:hAnsi="Arial" w:cs="Arial"/>
      <w:iCs/>
      <w:sz w:val="24"/>
      <w:szCs w:val="24"/>
      <w:lang w:eastAsia="es-ES"/>
    </w:rPr>
  </w:style>
  <w:style w:type="character" w:customStyle="1" w:styleId="ABACar">
    <w:name w:val="ABA Car"/>
    <w:link w:val="ABA"/>
    <w:rsid w:val="00F538E5"/>
    <w:rPr>
      <w:rFonts w:ascii="Arial" w:eastAsia="Batang" w:hAnsi="Arial" w:cs="Arial"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4</cp:revision>
  <dcterms:created xsi:type="dcterms:W3CDTF">2023-04-10T19:17:00Z</dcterms:created>
  <dcterms:modified xsi:type="dcterms:W3CDTF">2023-04-10T20:46:00Z</dcterms:modified>
</cp:coreProperties>
</file>